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AI Tooling Demand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BVL-465B6F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Every winning use case we could find is high-volume, repetitive, and has a verifiable output.</w:t>
      </w:r>
    </w:p>
    <w:p>
      <w:pPr>
        <w:pStyle w:val="ListBullet"/>
      </w:pPr>
      <w:r>
        <w:t>81% expect sector-wide deployment by 2030.</w:t>
      </w:r>
    </w:p>
    <w:p>
      <w:pPr>
        <w:pStyle w:val="ListBullet"/>
      </w:pPr>
      <w:r>
        <w:t>The three places it reliably fails: work needing guaranteed correctness with no human check, work where the knowledge was never written down, and small organisations whose data is not in usable shape.</w:t>
      </w:r>
    </w:p>
    <w:p>
      <w:pPr>
        <w:pStyle w:val="Heading1"/>
      </w:pPr>
      <w:r>
        <w:t>Who this lands with</w:t>
      </w:r>
    </w:p>
    <w:p>
      <w:r>
        <w:t>Engineering and platform leaders choosing what to standardise on</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https://bvlogic.com/research/ai-adoption-report/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https://bvlogic.com/research/ai-adoption-report/</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Tooling Demand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Tooling Demand Report — sales brief</dc:title>
  <dc:subject/>
  <dc:creator>BvLogic</dc:creator>
  <cp:keywords>BvLogic, Brief, enterprise AI, AI Tooling Demand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