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AI Agent Adoption Report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BVL-3B7A00</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Published 2026 agent adoption figures range from 31% to 79%</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(Engineering and platform leaders deciding whether to start with agents).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Adoption Report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Adoption Report — email sequence outline</dc:title>
  <dc:subject/>
  <dc:creator>BvLogic</dc:creator>
  <cp:keywords>BvLogic, Campaign, enterprise AI, AI Agent Adoption Report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