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AI Agent Adoption Report,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BVL-685EEA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AI Agent Adoption Report 2026: Everyone Is Adopting, Almost Nobody Is Scaling</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2026-08-10</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AI Agent Adoption Report, Twice a year, because the definitions are still moving</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February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Published 2026 agent adoption figures range from 31% to 79% because they measure four different things. Roughly a third of enterprises have at least one agent in production, which is the strictest and most defensible reading.</w:t>
      </w:r>
    </w:p>
    <w:p>
      <w:pPr>
        <w:ind w:left="454"/>
        <w:shd w:val="clear" w:color="auto" w:fill="FAFAFB"/>
      </w:pPr>
      <w:r>
        <w:rPr>
          <w:i/>
        </w:rPr>
        <w:t>88% of agent pilots never reach production. The top blocker is evaluation gaps (64%), ahead of governance friction (57%) and model reliability (51%).</w:t>
      </w:r>
    </w:p>
    <w:p>
      <w:pPr>
        <w:ind w:left="454"/>
        <w:shd w:val="clear" w:color="auto" w:fill="FAFAFB"/>
      </w:pPr>
      <w:r>
        <w:rPr>
          <w:i/>
        </w:rPr>
        <w:t>Banking and insurance lead production adoption at 47%, against 18% in healthcare and 14% in government. Regulation is not the brake; the absence of an approvals and evidence apparatus is.</w:t>
      </w:r>
    </w:p>
    <w:p>
      <w:pPr>
        <w:ind w:left="454"/>
        <w:shd w:val="clear" w:color="auto" w:fill="FAFAFB"/>
      </w:pPr>
      <w:r>
        <w:rPr>
          <w:i/>
        </w:rPr>
        <w:t>Only 21% report mature agentic AI governance, well below any adoption figure. A model that is wrong gives a bad answer; an agent that is wrong has already acted.</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AI Agent Adoption Report, 2026 edition. BvLogic Research, 2026-08-10. https://bvlogic.com/research/ai-agent-adoption/</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Charts you may reproduce</w:t>
      </w:r>
    </w:p>
    <w:p>
      <w:pPr>
        <w:pStyle w:val="ListBullet"/>
      </w:pPr>
      <w:r>
        <w:rPr>
          <w:b/>
        </w:rPr>
        <w:t>"AI agent adoption" in 2026, by what was actually measured</w:t>
      </w:r>
      <w:r>
        <w:t xml:space="preserve"> — Five published figures, one word. The spread is definitional, not statistical. Source line to carry: _Published 2026 vendor and community surveys, listed under Sources; chart: BvLogic_.</w:t>
      </w:r>
    </w:p>
    <w:p>
      <w:r>
        <w:t>The underlying figures are downloadable as CSV from the report page, so you can rebuild any chart in your own house style rather than screenshotting ours.</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Agentic AI Enterprise Adoption 2026, Agentic AI Institute</w:t>
      </w:r>
    </w:p>
    <w:p>
      <w:pPr>
        <w:pStyle w:val="ListBullet"/>
      </w:pPr>
      <w:r>
        <w:rPr>
          <w:color w:val="7C3AED"/>
          <w:u w:val="single"/>
        </w:rPr>
        <w:t>AI Agent Adoption 2026: Enterprise Data Points, Digital Applied</w:t>
      </w:r>
    </w:p>
    <w:p>
      <w:pPr>
        <w:pStyle w:val="ListBullet"/>
      </w:pPr>
      <w:r>
        <w:rPr>
          <w:color w:val="7C3AED"/>
          <w:u w:val="single"/>
        </w:rPr>
        <w:t>AI Agent Adoption Statistics, Prefactor</w:t>
      </w:r>
    </w:p>
    <w:p>
      <w:pPr>
        <w:pStyle w:val="ListBullet"/>
      </w:pPr>
      <w:r>
        <w:rPr>
          <w:color w:val="7C3AED"/>
          <w:u w:val="single"/>
        </w:rPr>
        <w:t>Agentic AI Reaches Tipping Point, CrewAI survey coverage</w:t>
      </w:r>
    </w:p>
    <w:p>
      <w:pPr>
        <w:pStyle w:val="ListBullet"/>
      </w:pPr>
      <w:r>
        <w:rPr>
          <w:color w:val="7C3AED"/>
          <w:u w:val="single"/>
        </w:rPr>
        <w:t>Agentic AI Adoption Statistics, First Page Sage</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Agent Adoption Report,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 Adoption Report, 2026 edition — press kit</dc:title>
  <dc:subject/>
  <dc:creator>BvLogic</dc:creator>
  <cp:keywords>BvLogic, Kit, enterprise AI, AI Agent Adoption Report,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