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AI Salary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BVL-93B33B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AI engineers out-earn data scientists at equivalent seniority.</w:t>
      </w:r>
    </w:p>
    <w:p>
      <w:pPr>
        <w:pStyle w:val="ListBullet"/>
      </w:pPr>
      <w:r>
        <w:t>The MLOps premium is more durable than the LLM premium.</w:t>
      </w:r>
    </w:p>
    <w:p>
      <w:pPr>
        <w:pStyle w:val="ListBullet"/>
      </w:pPr>
      <w:r>
        <w:t>San Francisco, New York and Seattle pay 25 to 40% above the national median.</w:t>
      </w:r>
    </w:p>
    <w:p>
      <w:pPr>
        <w:pStyle w:val="ListBullet"/>
      </w:pPr>
      <w:r>
        <w:t>Pay for production experience, not for model familiarity.</w:t>
      </w:r>
    </w:p>
    <w:p>
      <w:pPr>
        <w:pStyle w:val="Heading1"/>
      </w:pPr>
      <w:r>
        <w:t>Who this lands with</w:t>
      </w:r>
    </w:p>
    <w:p>
      <w:r>
        <w:t>Hiring managers and candidates in AI and data roles</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https://bvlogic.com/research/ai-salary-report/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https://bvlogic.com/research/ai-salary-report/</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Salary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Salary Report — sales brief</dc:title>
  <dc:subject/>
  <dc:creator>BvLogic</dc:creator>
  <cp:keywords>BvLogic, Brief, enterprise AI, AI Salary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