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Enterprise Cloud Index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BVL-B8AE3B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86% of CIOs plan to move at least some workloads from public cloud back to private or on-premises infrastructure, the highest rate ever recorded.</w:t>
        <w:br/>
        <w:br/>
        <w:t>That is the finding from our Enterprise Cloud Index 2026 edition.</w:t>
        <w:br/>
        <w:br/>
        <w:t>Full report, with sources and the data as CSV: https://bvlogic.com/research/cloud-adoption/</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86% of CIOs plan to move at least some workloads from public cloud back to private or on-premises infrastructure, the highest rate ever recorded.</w:t>
        <w:br/>
        <w:br/>
        <w:t>Production AI inference in public cloud fell from 56% to 41% in a single year.</w:t>
        <w:br/>
        <w:br/>
        <w:t>Both of those are true of the same companies. That gap is the whole report.</w:t>
        <w:br/>
        <w:br/>
        <w:t>https://bvlogic.com/research/cloud-adoption/</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https://bvlogic.com/research/cloud-adoption/</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Enterprise Cloud Index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Cloud Index — LinkedIn drafts</dc:title>
  <dc:subject/>
  <dc:creator>BvLogic</dc:creator>
  <cp:keywords>BvLogic, Social, enterprise AI, Enterprise Cloud Index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