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State of Enterprise AI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BVL-948BEF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78% of Global 2000 companies had at least one AI workload in production in Q1 2026, up from 41% in Q1 2024.</w:t>
      </w:r>
    </w:p>
    <w:p>
      <w:pPr>
        <w:pStyle w:val="ListBullet"/>
      </w:pPr>
      <w:r>
        <w:t>Around 6% capture significant enterprise value from it, and 56% of CEOs report zero measurable ROI.</w:t>
      </w:r>
    </w:p>
    <w:p>
      <w:pPr>
        <w:pStyle w:val="ListBullet"/>
      </w:pPr>
      <w:r>
        <w:t>Adoption roughly doubled in two years while the share realising value barely moved. Those are the same companies.</w:t>
      </w:r>
    </w:p>
    <w:p>
      <w:pPr>
        <w:pStyle w:val="Heading1"/>
      </w:pPr>
      <w:r>
        <w:t>Who this lands with</w:t>
      </w:r>
    </w:p>
    <w:p>
      <w:r>
        <w:t>CIOs, CTOs and heads of data deciding where AI budget goes</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https://bvlogic.com/research/enterprise-ai-report/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https://bvlogic.com/research/enterprise-ai-report/</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State of Enterprise AI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Enterprise AI — sales brief</dc:title>
  <dc:subject/>
  <dc:creator>BvLogic</dc:creator>
  <cp:keywords>BvLogic, Brief, enterprise AI, State of Enterprise AI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