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Fintech AI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BVL-6A108C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42.5% of all fraud attempts in financial services are now AI-driven, while only 22% of financial institutions have implemented AI-based fraud prevention.</w:t>
      </w:r>
    </w:p>
    <w:p>
      <w:pPr>
        <w:pStyle w:val="ListBullet"/>
      </w:pPr>
      <w:r>
        <w:t>AI detects 30 to 50% more fraudulent transactions than traditional methods.</w:t>
      </w:r>
    </w:p>
    <w:p>
      <w:pPr>
        <w:pStyle w:val="ListBullet"/>
      </w:pPr>
      <w:r>
        <w:t>Explainability is a hard requirement in this sector, not a preference, and the false-positive cost is immediate.</w:t>
      </w:r>
    </w:p>
    <w:p>
      <w:pPr>
        <w:pStyle w:val="Heading1"/>
      </w:pPr>
      <w:r>
        <w:t>Who this lands with</w:t>
      </w:r>
    </w:p>
    <w:p>
      <w:r>
        <w:t>Banking and fintech technology leaders</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https://bvlogic.com/research/fintech-ai/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https://bvlogic.com/research/fintech-ai/</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Fintech AI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Fintech AI Report — sales brief</dc:title>
  <dc:subject/>
  <dc:creator>BvLogic</dc:creator>
  <cp:keywords>BvLogic, Brief, enterprise AI, Fintech AI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