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LLM Selection Report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BVL-88BA19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The top models now sit within a tenth of a point of each other on the headline benchmark, while price spans a thousand-fold range.</w:t>
        <w:br/>
        <w:br/>
        <w:t>That is the finding from our LLM Selection Report 2026 edition.</w:t>
        <w:br/>
        <w:br/>
        <w:t>Full report, with sources and the data as CSV: https://bvlogic.com/research/llm-benchmark/</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The top models now sit within a tenth of a point of each other on the headline benchmark, while price spans a thousand-fold range.</w:t>
        <w:br/>
        <w:br/>
        <w:t>Performance on real business tasks varies far less than price does.</w:t>
        <w:br/>
        <w:br/>
        <w:t>Both of those are true of the same companies. That gap is the whole report.</w:t>
        <w:br/>
        <w:br/>
        <w:t>https://bvlogic.com/research/llm-benchmark/</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https://bvlogic.com/research/llm-benchmark/</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LLM Selection Report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LLM Selection Report — LinkedIn drafts</dc:title>
  <dc:subject/>
  <dc:creator>BvLogic</dc:creator>
  <cp:keywords>BvLogic, Social, enterprise AI, LLM Selection Report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