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Oracle Infrastructure Modernisation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BVL-B7983F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Oracle Infrastructure Modernisation Report 2026: The Bill Is the Architecture Decision</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2026-08-10</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Oracle Infrastructure Modernisation Report, Annual</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August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Oracle support runs at 22% of net licence fees and rises 8% annually by default, so a three-year-old obligation now costs about 26% more than the figure that was approved. The 24% widely quoted is 8% added three times; the clause compounds.</w:t>
      </w:r>
    </w:p>
    <w:p>
      <w:pPr>
        <w:ind w:left="454"/>
        <w:shd w:val="clear" w:color="auto" w:fill="FAFAFB"/>
      </w:pPr>
      <w:r>
        <w:rPr>
          <w:i/>
        </w:rPr>
        <w:t>Java SE is priced per EMPLOYEE, not per user, at $5.25 to $15.00 per employee per month. Reported effective increases against processor licensing run 300% to 500%.</w:t>
      </w:r>
    </w:p>
    <w:p>
      <w:pPr>
        <w:ind w:left="454"/>
        <w:shd w:val="clear" w:color="auto" w:fill="FAFAFB"/>
      </w:pPr>
      <w:r>
        <w:rPr>
          <w:i/>
        </w:rPr>
        <w:t>Under a per-employee metric a partial migration saves nothing, which turns modernisation from an incremental programme into a binary one.</w:t>
      </w:r>
    </w:p>
    <w:p>
      <w:pPr>
        <w:ind w:left="454"/>
        <w:shd w:val="clear" w:color="auto" w:fill="FAFAFB"/>
      </w:pPr>
      <w:r>
        <w:rPr>
          <w:i/>
        </w:rPr>
        <w:t>About one in five Java users is estimated to face an audit within three years, and 79% have migrated, are migrating or plan to migrate to open-source Java.</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Oracle Infrastructure Modernisation Report, 2026 edition. BvLogic Research, 2026-08-10. https://bvlogic.com/research/oracle-modernization/</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Charts you may reproduce</w:t>
      </w:r>
    </w:p>
    <w:p>
      <w:pPr>
        <w:pStyle w:val="ListBullet"/>
      </w:pPr>
      <w:r>
        <w:rPr>
          <w:b/>
        </w:rPr>
        <w:t>What an 8% annual uplift does to a support line</w:t>
      </w:r>
      <w:r>
        <w:t xml:space="preserve"> — Nothing was renegotiated and no new licences were bought. This is the default clause running unattended. Source line to carry: _Oracle standard support terms as reported by licensing advisories, 2026; chart: BvLogic_.</w:t>
      </w:r>
    </w:p>
    <w:p>
      <w:r>
        <w:t>The underlying figures are downloadable as CSV from the report page, so you can rebuild any chart in your own house style rather than screenshotting ours.</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Oracle Java Licensing Cost 2026, Redress Compliance</w:t>
      </w:r>
    </w:p>
    <w:p>
      <w:pPr>
        <w:pStyle w:val="ListBullet"/>
      </w:pPr>
      <w:r>
        <w:rPr>
          <w:color w:val="7C3AED"/>
          <w:u w:val="single"/>
        </w:rPr>
        <w:t>Oracle Price List 2026: Key Changes and Analysis, Redress Compliance</w:t>
      </w:r>
    </w:p>
    <w:p>
      <w:pPr>
        <w:pStyle w:val="ListBullet"/>
      </w:pPr>
      <w:r>
        <w:rPr>
          <w:color w:val="7C3AED"/>
          <w:u w:val="single"/>
        </w:rPr>
        <w:t>Licensing Oracle Java: The Complete 2026 Guide, LicenseQ</w:t>
      </w:r>
    </w:p>
    <w:p>
      <w:pPr>
        <w:pStyle w:val="ListBullet"/>
      </w:pPr>
      <w:r>
        <w:rPr>
          <w:color w:val="7C3AED"/>
          <w:u w:val="single"/>
        </w:rPr>
        <w:t>Oracle Database and Java Licensing Cost 2026, Software Pricing Guide</w:t>
      </w:r>
    </w:p>
    <w:p>
      <w:pPr>
        <w:pStyle w:val="ListBullet"/>
      </w:pPr>
      <w:r>
        <w:rPr>
          <w:color w:val="7C3AED"/>
          <w:u w:val="single"/>
        </w:rPr>
        <w:t>Migrate from Oracle Java to OpenJDK, LegacyLeap</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Oracle Infrastructure Modernisation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Oracle Infrastructure Modernisation Report, 2026 edition — press kit</dc:title>
  <dc:subject/>
  <dc:creator>BvLogic</dc:creator>
  <cp:keywords>BvLogic, Kit, enterprise AI, Oracle Infrastructure Modernisation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