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Bdr>
          <w:bottom w:val="single" w:sz="8" w:space="4" w:color="7C3AED"/>
        </w:pBdr>
      </w:pPr>
      <w:r>
        <w:rPr>
          <w:rFonts w:ascii="Georgia" w:hAnsi="Georgia"/>
          <w:b/>
          <w:color w:val="7C3AED"/>
          <w:sz w:val="44"/>
        </w:rPr>
        <w:t>BvLogic</w:t>
      </w:r>
    </w:p>
    <w:p>
      <w:pPr>
        <w:spacing w:before="720"/>
      </w:pPr>
      <w:r>
        <w:rPr>
          <w:b/>
          <w:color w:val="5B6471"/>
          <w:sz w:val="18"/>
        </w:rPr>
        <w:t>SOCIAL</w:t>
      </w:r>
    </w:p>
    <w:p>
      <w:pPr>
        <w:spacing w:after="160"/>
      </w:pPr>
      <w:r>
        <w:rPr>
          <w:rFonts w:ascii="Georgia" w:hAnsi="Georgia"/>
          <w:b/>
          <w:color w:val="0F141A"/>
          <w:sz w:val="56"/>
        </w:rPr>
        <w:t>Oracle Infrastructure Modernisation Report — LinkedIn drafts</w:t>
      </w:r>
    </w:p>
    <w:tbl>
      <w:tblPr>
        <w:tblStyle w:val="TableGrid"/>
        <w:tblW w:type="auto" w:w="0"/>
        <w:jc w:val="left"/>
        <w:tblLook w:firstColumn="1" w:firstRow="1" w:lastColumn="0" w:lastRow="0" w:noHBand="0" w:noVBand="1" w:val="04A0"/>
      </w:tblPr>
      <w:tblGrid>
        <w:gridCol w:w="4706"/>
        <w:gridCol w:w="4706"/>
      </w:tblGrid>
      <w:tr>
        <w:tc>
          <w:tcPr>
            <w:tcW w:type="dxa" w:w="2551"/>
            <w:shd w:val="clear" w:color="auto" w:fill="F1EAFE"/>
          </w:tcPr>
          <w:p>
            <w:r/>
            <w:r>
              <w:rPr>
                <w:b/>
                <w:sz w:val="18"/>
              </w:rPr>
              <w:t>Document ID</w:t>
            </w:r>
          </w:p>
        </w:tc>
        <w:tc>
          <w:tcPr>
            <w:tcW w:type="dxa" w:w="6520"/>
          </w:tcPr>
          <w:p>
            <w:r/>
            <w:r>
              <w:rPr>
                <w:sz w:val="18"/>
              </w:rPr>
              <w:t>BVL-DFC21A</w:t>
            </w:r>
          </w:p>
        </w:tc>
      </w:tr>
      <w:tr>
        <w:tc>
          <w:tcPr>
            <w:tcW w:type="dxa" w:w="2551"/>
            <w:shd w:val="clear" w:color="auto" w:fill="F1EAFE"/>
          </w:tcPr>
          <w:p>
            <w:r/>
            <w:r>
              <w:rPr>
                <w:b/>
                <w:sz w:val="18"/>
              </w:rPr>
              <w:t>Version</w:t>
            </w:r>
          </w:p>
        </w:tc>
        <w:tc>
          <w:tcPr>
            <w:tcW w:type="dxa" w:w="6520"/>
          </w:tcPr>
          <w:p>
            <w:r/>
            <w:r>
              <w:rPr>
                <w:sz w:val="18"/>
              </w:rPr>
              <w:t>1.0</w:t>
            </w:r>
          </w:p>
        </w:tc>
      </w:tr>
      <w:tr>
        <w:tc>
          <w:tcPr>
            <w:tcW w:type="dxa" w:w="2551"/>
            <w:shd w:val="clear" w:color="auto" w:fill="F1EAFE"/>
          </w:tcPr>
          <w:p>
            <w:r/>
            <w:r>
              <w:rPr>
                <w:b/>
                <w:sz w:val="18"/>
              </w:rPr>
              <w:t>Status</w:t>
            </w:r>
          </w:p>
        </w:tc>
        <w:tc>
          <w:tcPr>
            <w:tcW w:type="dxa" w:w="6520"/>
          </w:tcPr>
          <w:p>
            <w:r/>
            <w:r>
              <w:rPr>
                <w:sz w:val="18"/>
              </w:rPr>
              <w:t>Published</w:t>
            </w:r>
          </w:p>
        </w:tc>
      </w:tr>
      <w:tr>
        <w:tc>
          <w:tcPr>
            <w:tcW w:type="dxa" w:w="2551"/>
            <w:shd w:val="clear" w:color="auto" w:fill="F1EAFE"/>
          </w:tcPr>
          <w:p>
            <w:r/>
            <w:r>
              <w:rPr>
                <w:b/>
                <w:sz w:val="18"/>
              </w:rPr>
              <w:t>Owner</w:t>
            </w:r>
          </w:p>
        </w:tc>
        <w:tc>
          <w:tcPr>
            <w:tcW w:type="dxa" w:w="6520"/>
          </w:tcPr>
          <w:p>
            <w:r/>
            <w:r>
              <w:rPr>
                <w:sz w:val="18"/>
              </w:rPr>
              <w:t>BvLogic Knowledge Management</w:t>
            </w:r>
          </w:p>
        </w:tc>
      </w:tr>
      <w:tr>
        <w:tc>
          <w:tcPr>
            <w:tcW w:type="dxa" w:w="2551"/>
            <w:shd w:val="clear" w:color="auto" w:fill="F1EAFE"/>
          </w:tcPr>
          <w:p>
            <w:r/>
            <w:r>
              <w:rPr>
                <w:b/>
                <w:sz w:val="18"/>
              </w:rPr>
              <w:t>Classification</w:t>
            </w:r>
          </w:p>
        </w:tc>
        <w:tc>
          <w:tcPr>
            <w:tcW w:type="dxa" w:w="6520"/>
          </w:tcPr>
          <w:p>
            <w:r/>
            <w:r>
              <w:rPr>
                <w:sz w:val="18"/>
              </w:rPr>
              <w:t>Public</w:t>
            </w:r>
          </w:p>
        </w:tc>
      </w:tr>
      <w:tr>
        <w:tc>
          <w:tcPr>
            <w:tcW w:type="dxa" w:w="2551"/>
            <w:shd w:val="clear" w:color="auto" w:fill="F1EAFE"/>
          </w:tcPr>
          <w:p>
            <w:r/>
            <w:r>
              <w:rPr>
                <w:b/>
                <w:sz w:val="18"/>
              </w:rPr>
              <w:t>Issued</w:t>
            </w:r>
          </w:p>
        </w:tc>
        <w:tc>
          <w:tcPr>
            <w:tcW w:type="dxa" w:w="6520"/>
          </w:tcPr>
          <w:p>
            <w:r/>
            <w:r>
              <w:rPr>
                <w:sz w:val="18"/>
              </w:rPr>
              <w:t>12 September 2026</w:t>
            </w:r>
          </w:p>
        </w:tc>
      </w:tr>
      <w:tr>
        <w:tc>
          <w:tcPr>
            <w:tcW w:type="dxa" w:w="2551"/>
            <w:shd w:val="clear" w:color="auto" w:fill="F1EAFE"/>
          </w:tcPr>
          <w:p>
            <w:r/>
            <w:r>
              <w:rPr>
                <w:b/>
                <w:sz w:val="18"/>
              </w:rPr>
              <w:t>Next review</w:t>
            </w:r>
          </w:p>
        </w:tc>
        <w:tc>
          <w:tcPr>
            <w:tcW w:type="dxa" w:w="6520"/>
          </w:tcPr>
          <w:p>
            <w:r/>
            <w:r>
              <w:rPr>
                <w:sz w:val="18"/>
              </w:rPr>
              <w:t>12 September 2027</w:t>
            </w:r>
          </w:p>
        </w:tc>
      </w:tr>
      <w:tr>
        <w:tc>
          <w:tcPr>
            <w:tcW w:type="dxa" w:w="2551"/>
            <w:shd w:val="clear" w:color="auto" w:fill="F1EAFE"/>
          </w:tcPr>
          <w:p>
            <w:r/>
            <w:r>
              <w:rPr>
                <w:b/>
                <w:sz w:val="18"/>
              </w:rPr>
              <w:t>Document type</w:t>
            </w:r>
          </w:p>
        </w:tc>
        <w:tc>
          <w:tcPr>
            <w:tcW w:type="dxa" w:w="6520"/>
          </w:tcPr>
          <w:p>
            <w:r/>
            <w:r>
              <w:rPr>
                <w:sz w:val="18"/>
              </w:rPr>
              <w:t>Social</w:t>
            </w:r>
          </w:p>
        </w:tc>
      </w:tr>
    </w:tbl>
    <w:p>
      <w:pPr>
        <w:sectPr>
          <w:headerReference w:type="default" r:id="rId9"/>
          <w:pgSz w:w="11906" w:h="16838"/>
          <w:pgMar w:top="1417" w:right="1247" w:bottom="1417" w:left="1247" w:header="680" w:footer="680" w:gutter="0"/>
          <w:cols w:space="720"/>
          <w:docGrid w:linePitch="360"/>
        </w:sectPr>
      </w:pPr>
    </w:p>
    <w:p>
      <w:r>
        <w:rPr>
          <w:rFonts w:ascii="Georgia" w:hAnsi="Georgia"/>
          <w:b/>
          <w:color w:val="7C3AED"/>
          <w:sz w:val="28"/>
        </w:rPr>
        <w:t>Contents</w:t>
      </w:r>
    </w:p>
    <w:p>
      <w:r>
        <w:fldChar w:fldCharType="begin"/>
      </w:r>
      <w:r>
        <w:instrText xml:space="preserve"> TOC \o "1-3" \h \z \u </w:instrText>
      </w:r>
      <w:r>
        <w:fldChar w:fldCharType="separate"/>
      </w:r>
      <w:r>
        <w:fldChar w:fldCharType="end"/>
      </w:r>
    </w:p>
    <w:p>
      <w:r>
        <w:br w:type="page"/>
      </w:r>
    </w:p>
    <w:p>
      <w:r>
        <w:t>_Drafts for a person to approve and post, not scheduled content. Each one leads with a finding and links to the report. None of them says 'excited to share'._</w:t>
      </w:r>
    </w:p>
    <w:p>
      <w:pPr>
        <w:pStyle w:val="Heading1"/>
      </w:pPr>
      <w:r>
        <w:t>The single-statistic post</w:t>
      </w:r>
    </w:p>
    <w:p>
      <w:r>
        <w:t>Shortest and usually the best performer. One number, one implication, one link.</w:t>
      </w:r>
    </w:p>
    <w:p>
      <w:pPr>
        <w:shd w:val="clear" w:color="auto" w:fill="F4F5F7"/>
      </w:pPr>
      <w:r>
        <w:rPr>
          <w:rFonts w:ascii="Consolas" w:hAnsi="Consolas"/>
          <w:sz w:val="18"/>
        </w:rPr>
        <w:t>Oracle support runs at 22% of net licence fees and rises 8% annually by default, so a three-year-old obligation now costs about 26% more than the figure that was approved. The 24% widely quoted is 8% added three times; the clause compounds.</w:t>
        <w:br/>
        <w:br/>
        <w:t>That is the finding from our Oracle Infrastructure Modernisation Report 2026 edition.</w:t>
        <w:br/>
        <w:br/>
        <w:t>Full report, with sources and the data as CSV: https://bvlogic.com/research/oracle-modernization/</w:t>
      </w:r>
    </w:p>
    <w:p>
      <w:pPr>
        <w:pStyle w:val="Heading1"/>
      </w:pPr>
      <w:r>
        <w:t>The contradiction post</w:t>
      </w:r>
    </w:p>
    <w:p>
      <w:r>
        <w:t>Two findings that sit badly together. This is the format that gets argued with in the comments, which is the format that travels.</w:t>
      </w:r>
    </w:p>
    <w:p>
      <w:pPr>
        <w:shd w:val="clear" w:color="auto" w:fill="F4F5F7"/>
      </w:pPr>
      <w:r>
        <w:rPr>
          <w:rFonts w:ascii="Consolas" w:hAnsi="Consolas"/>
          <w:sz w:val="18"/>
        </w:rPr>
        <w:t>Oracle support runs at 22% of net licence fees and rises 8% annually by default, so a three-year-old obligation now costs about 26% more than the figure that was approved. The 24% widely quoted is 8% added three times; the clause compounds.</w:t>
        <w:br/>
        <w:br/>
        <w:t>Java SE is priced per EMPLOYEE, not per user, at $5.25 to $15.00 per employee per month. Reported effective increases against processor licensing run 300% to 500%.</w:t>
        <w:br/>
        <w:br/>
        <w:t>Both of those are true of the same companies. That gap is the whole report.</w:t>
        <w:br/>
        <w:br/>
        <w:t>https://bvlogic.com/research/oracle-modernization/</w:t>
      </w:r>
    </w:p>
    <w:p>
      <w:pPr>
        <w:pStyle w:val="Heading1"/>
      </w:pPr>
      <w:r>
        <w:t>The method post</w:t>
      </w:r>
    </w:p>
    <w:p>
      <w:r>
        <w:t>For the audience that distrusts vendor research, which is the audience worth having.</w:t>
      </w:r>
    </w:p>
    <w:p>
      <w:pPr>
        <w:shd w:val="clear" w:color="auto" w:fill="F4F5F7"/>
      </w:pPr>
      <w:r>
        <w:rPr>
          <w:rFonts w:ascii="Consolas" w:hAnsi="Consolas"/>
          <w:sz w:val="18"/>
        </w:rPr>
        <w:t>We publish where every figure came from, and we say when our own method is weak.</w:t>
        <w:br/>
        <w:br/>
        <w:t>This edition is a synthesis of published data, not a survey we ran. We say so in the report rather than implying otherwise.</w:t>
        <w:br/>
        <w:br/>
        <w:t>Findings, sources and the raw CSV: https://bvlogic.com/research/oracle-modernization/</w:t>
      </w:r>
    </w:p>
    <w:p>
      <w:pPr>
        <w:pStyle w:val="Heading1"/>
      </w:pPr>
      <w:r>
        <w:t>What not to do with these</w:t>
      </w:r>
    </w:p>
    <w:p>
      <w:r>
        <w:t>Do not post all three in a week. Do not add a carousel that restates the same number four times. Do not open with 'thrilled to announce'. The report is the asset; the post is a pointer to it.</w:t>
      </w:r>
    </w:p>
    <w:p/>
    <w:p>
      <w:pPr>
        <w:pBdr>
          <w:bottom w:val="single" w:sz="4" w:space="4" w:color="7C3AED"/>
        </w:pBdr>
      </w:pPr>
    </w:p>
    <w:p>
      <w:r>
        <w:rPr>
          <w:b/>
          <w:color w:val="5B6471"/>
          <w:sz w:val="18"/>
        </w:rPr>
        <w:t>Notice</w:t>
      </w:r>
    </w:p>
    <w:p>
      <w:r>
        <w:rPr>
          <w:color w:val="5B6471"/>
          <w:sz w:val="17"/>
        </w:rPr>
        <w:t>This document is published by BvLogic as general reference material. It is provided for information only and is not professional, financial, legal or tax advice, and no liability is accepted for decisions taken on the basis of it. Figures in worked examples are illustrative unless a source is cited. Verify anything time-sensitive against the live version at bvlogic.com before relying on it.</w:t>
      </w:r>
    </w:p>
    <w:sectPr w:rsidR="00FC693F" w:rsidRPr="0006063C" w:rsidSect="00034616">
      <w:headerReference w:type="default" r:id="rId10"/>
      <w:footerReference w:type="default" r:id="rId11"/>
      <w:pgSz w:w="11906" w:h="16838"/>
      <w:pgMar w:top="1417" w:right="1247" w:bottom="1417" w:left="1247" w:header="680" w:footer="68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
      <w:rPr>
        <w:color w:val="5B6471"/>
        <w:sz w:val="16"/>
      </w:rPr>
      <w:t xml:space="preserve">Page </w:t>
    </w:r>
    <w:r>
      <w:fldChar w:fldCharType="begin"/>
    </w:r>
    <w:r>
      <w:instrText xml:space="preserve"> PAGE </w:instrText>
    </w:r>
    <w:r>
      <w:fldChar w:fldCharType="separate"/>
    </w:r>
    <w:r>
      <w:fldChar w:fldCharType="end"/>
    </w:r>
    <w:r>
      <w:rPr>
        <w:color w:val="5B6471"/>
        <w:sz w:val="16"/>
      </w:rPr>
      <w:t xml:space="preserve"> of </w:t>
    </w:r>
    <w:r>
      <w:fldChar w:fldCharType="begin"/>
    </w:r>
    <w:r>
      <w:instrText xml:space="preserve"> NUMPAGES </w:instrText>
    </w:r>
    <w:r>
      <w:fldChar w:fldCharType="separate"/>
    </w:r>
    <w:r>
      <w:fldChar w:fldCharType="end"/>
    </w:r>
    <w:r>
      <w:rPr>
        <w:color w:val="5B6471"/>
        <w:sz w:val="16"/>
      </w:rPr>
      <w:t xml:space="preserve">    |    bvlogic.com    |    (c) 2026 BvLogic</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p>
  <w:p>
    <w:pPr>
      <w:spacing w:after="0"/>
    </w:pPr>
    <w:r>
      <w:pict>
        <v:shapetype id="_x0000_t136" coordsize="21600,21600" o:spt="136" adj="10800" path="m@7,0l@8,0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shapetype>
        <v:shape id="BvLogicWatermark" o:spid="_x0000_s2049" type="#_x0000_t136" style="position:absolute;margin-left:0;margin-top:0;width:440pt;height:150pt;             rotation:315;z-index:-251658752;mso-position-horizontal:center;             mso-position-horizontal-relative:margin;mso-position-vertical:center;             mso-position-vertical-relative:margin" o:allowincell="f" fillcolor="#D9D9D9" stroked="f">
          <v:fill opacity="0.55"/>
          <v:textpath style="font-family:&quot;Georgia&quot;;font-weight:bold;v-text-kern:t" trim="t" fitpath="t" string="BvLogic"/>
        </v:shape>
      </w:pict>
    </w:r>
  </w:p>
</w:hdr>
</file>

<file path=word/header2.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Bdr>
        <w:bottom w:val="single" w:sz="4" w:space="4" w:color="7C3AED"/>
      </w:pBdr>
    </w:pPr>
    <w:r/>
    <w:r>
      <w:rPr>
        <w:color w:val="5B6471"/>
        <w:sz w:val="16"/>
      </w:rPr>
      <w:t>BvLogic  |  Oracle Infrastructure Modernisation Report — LinkedIn drafts</w:t>
    </w:r>
    <w:r>
      <w:tab/>
      <w:tab/>
    </w:r>
    <w:r>
      <w:rPr>
        <w:color w:val="5B6471"/>
        <w:sz w:val="16"/>
      </w:rPr>
      <w:t>Public</w:t>
    </w:r>
  </w:p>
  <w:p>
    <w:pPr>
      <w:spacing w:after="0"/>
    </w:pPr>
    <w:r>
      <w:pict>
        <v:shapetype id="_x0000_t136" coordsize="21600,21600" o:spt="136" adj="10800" path="m@7,0l@8,0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shapetype>
        <v:shape id="BvLogicWatermark" o:spid="_x0000_s2049" type="#_x0000_t136" style="position:absolute;margin-left:0;margin-top:0;width:440pt;height:150pt;             rotation:315;z-index:-251658752;mso-position-horizontal:center;             mso-position-horizontal-relative:margin;mso-position-vertical:center;             mso-position-vertical-relative:margin" o:allowincell="f" fillcolor="#D9D9D9" stroked="f">
          <v:fill opacity="0.55"/>
          <v:textpath style="font-family:&quot;Georgia&quot;;font-weight:bold;v-text-kern:t" trim="t" fitpath="t" string="BvLogic"/>
        </v:shape>
      </w:pic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20" w:line="276" w:lineRule="auto"/>
    </w:pPr>
    <w:rPr>
      <w:rFonts w:ascii="Calibri" w:hAnsi="Calibri"/>
      <w:color w:val="0F141A"/>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80" w:after="80"/>
      <w:outlineLvl w:val="0"/>
    </w:pPr>
    <w:rPr>
      <w:rFonts w:asciiTheme="majorHAnsi" w:eastAsiaTheme="majorEastAsia" w:hAnsiTheme="majorHAnsi" w:cstheme="majorBidi" w:ascii="Georgia" w:hAnsi="Georgia"/>
      <w:b/>
      <w:bCs/>
      <w:color w:val="7C3AED"/>
      <w:sz w:val="36"/>
      <w:szCs w:val="28"/>
    </w:rPr>
  </w:style>
  <w:style w:type="paragraph" w:styleId="Heading2">
    <w:name w:val="heading 2"/>
    <w:basedOn w:val="Normal"/>
    <w:next w:val="Normal"/>
    <w:link w:val="Heading2Char"/>
    <w:uiPriority w:val="9"/>
    <w:unhideWhenUsed/>
    <w:qFormat/>
    <w:rsid w:val="00FC693F"/>
    <w:pPr>
      <w:keepNext/>
      <w:keepLines/>
      <w:spacing w:before="280" w:after="80"/>
      <w:outlineLvl w:val="1"/>
    </w:pPr>
    <w:rPr>
      <w:rFonts w:asciiTheme="majorHAnsi" w:eastAsiaTheme="majorEastAsia" w:hAnsiTheme="majorHAnsi" w:cstheme="majorBidi" w:ascii="Georgia" w:hAnsi="Georgia"/>
      <w:b/>
      <w:bCs/>
      <w:color w:val="7C3AED"/>
      <w:sz w:val="28"/>
      <w:szCs w:val="26"/>
    </w:rPr>
  </w:style>
  <w:style w:type="paragraph" w:styleId="Heading3">
    <w:name w:val="heading 3"/>
    <w:basedOn w:val="Normal"/>
    <w:next w:val="Normal"/>
    <w:link w:val="Heading3Char"/>
    <w:uiPriority w:val="9"/>
    <w:unhideWhenUsed/>
    <w:qFormat/>
    <w:rsid w:val="00FC693F"/>
    <w:pPr>
      <w:keepNext/>
      <w:keepLines/>
      <w:spacing w:before="200" w:after="80"/>
      <w:outlineLvl w:val="2"/>
    </w:pPr>
    <w:rPr>
      <w:rFonts w:asciiTheme="majorHAnsi" w:eastAsiaTheme="majorEastAsia" w:hAnsiTheme="majorHAnsi" w:cstheme="majorBidi" w:ascii="Georgia" w:hAnsi="Georgia"/>
      <w:b/>
      <w:bCs/>
      <w:color w:val="0F141A"/>
      <w:sz w:val="23"/>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header" Target="header2.xml"/><Relationship Id="rId11"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Oracle Infrastructure Modernisation Report — LinkedIn drafts</dc:title>
  <dc:subject/>
  <dc:creator>BvLogic</dc:creator>
  <cp:keywords>BvLogic, Social, enterprise AI, Oracle Infrastructure Modernisation Report — LinkedIn drafts</cp:keywords>
  <dc:description/>
  <cp:lastModifiedBy/>
  <cp:revision>1</cp:revision>
  <dcterms:created xsi:type="dcterms:W3CDTF">2013-12-23T23:15:00Z</dcterms:created>
  <dcterms:modified xsi:type="dcterms:W3CDTF">2013-12-23T23:15:00Z</dcterms:modified>
  <cp:category>Social</cp:category>
  <dc:language>en-GB</dc:language>
</cp:coreProperties>
</file>